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D377CF"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BD6F5D" w:rsidRPr="00E607AF" w:rsidRDefault="00991035" w:rsidP="00E607AF">
      <w:pPr>
        <w:pStyle w:val="a9"/>
        <w:numPr>
          <w:ilvl w:val="0"/>
          <w:numId w:val="28"/>
        </w:numPr>
        <w:tabs>
          <w:tab w:val="left" w:pos="567"/>
          <w:tab w:val="left" w:pos="993"/>
        </w:tabs>
        <w:spacing w:after="0" w:line="240" w:lineRule="auto"/>
        <w:ind w:left="0" w:firstLine="709"/>
        <w:contextualSpacing/>
        <w:jc w:val="both"/>
        <w:rPr>
          <w:rFonts w:ascii="Times New Roman" w:eastAsia="Times New Roman" w:hAnsi="Times New Roman"/>
          <w:color w:val="000000" w:themeColor="text1"/>
          <w:sz w:val="24"/>
          <w:szCs w:val="24"/>
          <w:lang w:val="ru-RU"/>
        </w:rPr>
      </w:pPr>
      <w:r w:rsidRPr="005109B2">
        <w:rPr>
          <w:rFonts w:ascii="Times New Roman" w:eastAsia="Times New Roman" w:hAnsi="Times New Roman"/>
          <w:b/>
          <w:color w:val="000000"/>
          <w:sz w:val="24"/>
          <w:szCs w:val="24"/>
        </w:rPr>
        <w:t>ПРЕДМЕТ НА ТЪРГА</w:t>
      </w:r>
      <w:r w:rsidR="00034980" w:rsidRPr="005109B2">
        <w:rPr>
          <w:rFonts w:ascii="Times New Roman" w:eastAsia="Times New Roman" w:hAnsi="Times New Roman"/>
          <w:b/>
          <w:color w:val="000000"/>
          <w:sz w:val="24"/>
          <w:szCs w:val="24"/>
          <w:lang w:val="bg-BG"/>
        </w:rPr>
        <w:t xml:space="preserve"> - </w:t>
      </w:r>
      <w:r w:rsidR="0028401F">
        <w:rPr>
          <w:rFonts w:ascii="Times New Roman" w:eastAsia="Times New Roman" w:hAnsi="Times New Roman"/>
          <w:sz w:val="24"/>
          <w:szCs w:val="24"/>
          <w:lang w:val="bg-BG"/>
        </w:rPr>
        <w:t>80</w:t>
      </w:r>
      <w:r w:rsidR="005109B2" w:rsidRPr="005109B2">
        <w:rPr>
          <w:rFonts w:ascii="Times New Roman" w:eastAsia="Times New Roman" w:hAnsi="Times New Roman"/>
          <w:sz w:val="24"/>
          <w:szCs w:val="24"/>
          <w:lang w:val="bg-BG"/>
        </w:rPr>
        <w:t>/3811</w:t>
      </w:r>
      <w:r w:rsidR="005109B2" w:rsidRPr="005109B2">
        <w:rPr>
          <w:rFonts w:ascii="Times New Roman" w:eastAsia="Times New Roman" w:hAnsi="Times New Roman"/>
          <w:sz w:val="24"/>
          <w:szCs w:val="24"/>
        </w:rPr>
        <w:t xml:space="preserve"> </w:t>
      </w:r>
      <w:r w:rsidR="005109B2" w:rsidRPr="005109B2">
        <w:rPr>
          <w:rFonts w:ascii="Times New Roman" w:eastAsia="Times New Roman" w:hAnsi="Times New Roman"/>
          <w:sz w:val="24"/>
          <w:szCs w:val="24"/>
          <w:lang w:val="bg-BG"/>
        </w:rPr>
        <w:t xml:space="preserve">кв. м. идеални части, равняващи се на </w:t>
      </w:r>
      <w:r w:rsidR="0028401F">
        <w:rPr>
          <w:rFonts w:ascii="Times New Roman" w:eastAsia="Times New Roman" w:hAnsi="Times New Roman"/>
          <w:sz w:val="24"/>
          <w:szCs w:val="24"/>
          <w:lang w:val="bg-BG"/>
        </w:rPr>
        <w:t>80</w:t>
      </w:r>
      <w:r w:rsidR="005109B2" w:rsidRPr="005109B2">
        <w:rPr>
          <w:rFonts w:ascii="Times New Roman" w:eastAsia="Times New Roman" w:hAnsi="Times New Roman"/>
          <w:sz w:val="24"/>
          <w:szCs w:val="24"/>
          <w:lang w:val="bg-BG"/>
        </w:rPr>
        <w:t>/</w:t>
      </w:r>
      <w:r w:rsidR="0028401F">
        <w:rPr>
          <w:rFonts w:ascii="Times New Roman" w:eastAsia="Times New Roman" w:hAnsi="Times New Roman"/>
          <w:sz w:val="24"/>
          <w:szCs w:val="24"/>
          <w:lang w:val="bg-BG"/>
        </w:rPr>
        <w:t>осемдесет</w:t>
      </w:r>
      <w:r w:rsidR="005109B2" w:rsidRPr="005109B2">
        <w:rPr>
          <w:rFonts w:ascii="Times New Roman" w:eastAsia="Times New Roman" w:hAnsi="Times New Roman"/>
          <w:sz w:val="24"/>
          <w:szCs w:val="24"/>
          <w:lang w:val="bg-BG"/>
        </w:rPr>
        <w:t xml:space="preserve">/ кв. м от ПИ с идентификатор 67708.306.316, общинска собственост, </w:t>
      </w:r>
      <w:r w:rsidR="005109B2" w:rsidRPr="00E607AF">
        <w:rPr>
          <w:rFonts w:ascii="Times New Roman" w:eastAsia="Times New Roman" w:hAnsi="Times New Roman"/>
          <w:color w:val="000000" w:themeColor="text1"/>
          <w:sz w:val="24"/>
          <w:szCs w:val="24"/>
          <w:lang w:val="bg-BG"/>
        </w:rPr>
        <w:t>съгласно приложена схема.</w:t>
      </w:r>
      <w:r w:rsidR="005109B2" w:rsidRPr="00E607AF">
        <w:rPr>
          <w:color w:val="000000" w:themeColor="text1"/>
          <w:lang w:val="bg-BG"/>
        </w:rPr>
        <w:t xml:space="preserve"> </w:t>
      </w:r>
    </w:p>
    <w:p w:rsidR="001F4B36" w:rsidRPr="001F4B36" w:rsidRDefault="001F4B36" w:rsidP="001F4B36">
      <w:pPr>
        <w:pStyle w:val="a9"/>
        <w:tabs>
          <w:tab w:val="left" w:pos="567"/>
          <w:tab w:val="left" w:pos="993"/>
        </w:tabs>
        <w:spacing w:after="0" w:line="240" w:lineRule="auto"/>
        <w:ind w:left="709" w:right="282"/>
        <w:contextualSpacing/>
        <w:jc w:val="both"/>
        <w:rPr>
          <w:rFonts w:ascii="Times New Roman" w:hAnsi="Times New Roman"/>
          <w:sz w:val="24"/>
          <w:szCs w:val="24"/>
          <w:lang w:val="bg-BG"/>
        </w:rPr>
      </w:pPr>
    </w:p>
    <w:p w:rsidR="00BD6F5D" w:rsidRPr="00E607AF" w:rsidRDefault="007F5210" w:rsidP="00E607AF">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color w:val="000000" w:themeColor="text1"/>
          <w:sz w:val="24"/>
          <w:szCs w:val="24"/>
          <w:lang w:val="bg-BG"/>
        </w:rPr>
      </w:pPr>
      <w:r w:rsidRPr="00112CB0">
        <w:rPr>
          <w:rFonts w:ascii="Times New Roman" w:eastAsia="Times New Roman" w:hAnsi="Times New Roman"/>
          <w:b/>
          <w:sz w:val="24"/>
          <w:szCs w:val="24"/>
        </w:rPr>
        <w:t>ВИД НА ТРЪЖНАТА СЕСИЯ</w:t>
      </w:r>
      <w:r w:rsidRPr="00112CB0">
        <w:rPr>
          <w:rFonts w:ascii="Times New Roman" w:eastAsia="Times New Roman" w:hAnsi="Times New Roman"/>
          <w:b/>
          <w:sz w:val="24"/>
          <w:szCs w:val="24"/>
          <w:lang w:val="bg-BG"/>
        </w:rPr>
        <w:t xml:space="preserve"> - </w:t>
      </w:r>
      <w:r w:rsidR="00751665">
        <w:rPr>
          <w:rFonts w:ascii="Times New Roman" w:eastAsia="Times New Roman" w:hAnsi="Times New Roman"/>
          <w:sz w:val="24"/>
          <w:szCs w:val="24"/>
          <w:lang w:val="bg-BG"/>
        </w:rPr>
        <w:t>т</w:t>
      </w:r>
      <w:r w:rsidR="008D64E3" w:rsidRPr="00112CB0">
        <w:rPr>
          <w:rFonts w:ascii="Times New Roman" w:eastAsia="Times New Roman" w:hAnsi="Times New Roman"/>
          <w:sz w:val="24"/>
          <w:szCs w:val="24"/>
          <w:lang w:val="bg-BG"/>
        </w:rPr>
        <w:t xml:space="preserve">ърг с явно наддаване за </w:t>
      </w:r>
      <w:r w:rsidRPr="00112CB0">
        <w:rPr>
          <w:rFonts w:ascii="Times New Roman" w:eastAsia="Times New Roman" w:hAnsi="Times New Roman"/>
          <w:sz w:val="24"/>
          <w:szCs w:val="24"/>
          <w:lang w:val="bg-BG"/>
        </w:rPr>
        <w:t>отдаване под наем</w:t>
      </w:r>
      <w:r w:rsidR="00A06524" w:rsidRPr="00112CB0">
        <w:rPr>
          <w:rFonts w:ascii="Times New Roman" w:eastAsia="Times New Roman" w:hAnsi="Times New Roman"/>
          <w:sz w:val="24"/>
          <w:szCs w:val="24"/>
          <w:lang w:val="bg-BG"/>
        </w:rPr>
        <w:t xml:space="preserve"> </w:t>
      </w:r>
      <w:r w:rsidR="0085375E">
        <w:rPr>
          <w:rFonts w:ascii="Times New Roman" w:eastAsia="Times New Roman" w:hAnsi="Times New Roman"/>
          <w:sz w:val="24"/>
          <w:szCs w:val="24"/>
          <w:lang w:val="bg-BG"/>
        </w:rPr>
        <w:t xml:space="preserve">на </w:t>
      </w:r>
      <w:r w:rsidR="005109B2">
        <w:rPr>
          <w:rFonts w:ascii="Times New Roman" w:eastAsia="Times New Roman" w:hAnsi="Times New Roman"/>
          <w:sz w:val="24"/>
          <w:szCs w:val="24"/>
          <w:lang w:val="bg-BG"/>
        </w:rPr>
        <w:t>терен</w:t>
      </w:r>
      <w:r w:rsidR="0085375E">
        <w:rPr>
          <w:rFonts w:ascii="Times New Roman" w:eastAsia="Times New Roman" w:hAnsi="Times New Roman"/>
          <w:sz w:val="24"/>
          <w:szCs w:val="24"/>
          <w:lang w:val="bg-BG"/>
        </w:rPr>
        <w:t xml:space="preserve"> </w:t>
      </w:r>
      <w:r w:rsidR="0085375E" w:rsidRPr="00E607AF">
        <w:rPr>
          <w:rFonts w:ascii="Times New Roman" w:eastAsia="Times New Roman" w:hAnsi="Times New Roman"/>
          <w:b/>
          <w:color w:val="000000" w:themeColor="text1"/>
          <w:sz w:val="24"/>
          <w:szCs w:val="24"/>
          <w:lang w:val="bg-BG"/>
        </w:rPr>
        <w:t xml:space="preserve">за срок от </w:t>
      </w:r>
      <w:r w:rsidR="0028401F">
        <w:rPr>
          <w:rFonts w:ascii="Times New Roman" w:eastAsia="Times New Roman" w:hAnsi="Times New Roman"/>
          <w:b/>
          <w:color w:val="000000" w:themeColor="text1"/>
          <w:sz w:val="24"/>
          <w:szCs w:val="24"/>
          <w:lang w:val="bg-BG"/>
        </w:rPr>
        <w:t>3</w:t>
      </w:r>
      <w:r w:rsidR="00E607AF">
        <w:rPr>
          <w:rFonts w:ascii="Times New Roman" w:eastAsia="Times New Roman" w:hAnsi="Times New Roman"/>
          <w:b/>
          <w:color w:val="000000" w:themeColor="text1"/>
          <w:sz w:val="24"/>
          <w:szCs w:val="24"/>
          <w:lang w:val="bg-BG"/>
        </w:rPr>
        <w:t xml:space="preserve"> </w:t>
      </w:r>
      <w:r w:rsidR="00034980" w:rsidRPr="00E607AF">
        <w:rPr>
          <w:rFonts w:ascii="Times New Roman" w:eastAsia="Times New Roman" w:hAnsi="Times New Roman"/>
          <w:b/>
          <w:color w:val="000000" w:themeColor="text1"/>
          <w:sz w:val="24"/>
          <w:szCs w:val="24"/>
          <w:lang w:val="bg-BG"/>
        </w:rPr>
        <w:t>/</w:t>
      </w:r>
      <w:r w:rsidR="0028401F">
        <w:rPr>
          <w:rFonts w:ascii="Times New Roman" w:eastAsia="Times New Roman" w:hAnsi="Times New Roman"/>
          <w:b/>
          <w:color w:val="000000" w:themeColor="text1"/>
          <w:sz w:val="24"/>
          <w:szCs w:val="24"/>
          <w:lang w:val="bg-BG"/>
        </w:rPr>
        <w:t>три</w:t>
      </w:r>
      <w:r w:rsidR="00E607AF" w:rsidRPr="00E607AF">
        <w:rPr>
          <w:rFonts w:ascii="Times New Roman" w:eastAsia="Times New Roman" w:hAnsi="Times New Roman"/>
          <w:b/>
          <w:color w:val="000000" w:themeColor="text1"/>
          <w:sz w:val="24"/>
          <w:szCs w:val="24"/>
          <w:lang w:val="bg-BG"/>
        </w:rPr>
        <w:t>/</w:t>
      </w:r>
      <w:r w:rsidR="0085375E" w:rsidRPr="00E607AF">
        <w:rPr>
          <w:rFonts w:ascii="Times New Roman" w:eastAsia="Times New Roman" w:hAnsi="Times New Roman"/>
          <w:b/>
          <w:color w:val="000000" w:themeColor="text1"/>
          <w:sz w:val="24"/>
          <w:szCs w:val="24"/>
          <w:lang w:val="bg-BG"/>
        </w:rPr>
        <w:t xml:space="preserve"> </w:t>
      </w:r>
      <w:r w:rsidR="0028401F">
        <w:rPr>
          <w:rFonts w:ascii="Times New Roman" w:eastAsia="Times New Roman" w:hAnsi="Times New Roman"/>
          <w:b/>
          <w:color w:val="000000" w:themeColor="text1"/>
          <w:sz w:val="24"/>
          <w:szCs w:val="24"/>
          <w:lang w:val="bg-BG"/>
        </w:rPr>
        <w:t>месеца</w:t>
      </w:r>
      <w:r w:rsidR="00A06524" w:rsidRPr="00E607AF">
        <w:rPr>
          <w:rFonts w:ascii="Times New Roman" w:eastAsia="Times New Roman" w:hAnsi="Times New Roman"/>
          <w:color w:val="000000" w:themeColor="text1"/>
          <w:sz w:val="24"/>
          <w:szCs w:val="24"/>
          <w:lang w:val="bg-BG"/>
        </w:rPr>
        <w:t>;</w:t>
      </w:r>
    </w:p>
    <w:p w:rsidR="00A06524" w:rsidRPr="00112CB0"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5109B2" w:rsidRDefault="00A06524" w:rsidP="001F4B36">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НАЧАЛН</w:t>
      </w:r>
      <w:r w:rsidRPr="00112CB0">
        <w:rPr>
          <w:rFonts w:ascii="Times New Roman" w:hAnsi="Times New Roman"/>
          <w:b/>
          <w:sz w:val="24"/>
          <w:szCs w:val="24"/>
          <w:lang w:val="bg-BG"/>
        </w:rPr>
        <w:t>А ТРЪЖНА</w:t>
      </w:r>
      <w:r w:rsidR="00C33524" w:rsidRPr="00112CB0">
        <w:rPr>
          <w:rFonts w:ascii="Times New Roman" w:hAnsi="Times New Roman"/>
          <w:b/>
          <w:sz w:val="24"/>
          <w:szCs w:val="24"/>
          <w:lang w:val="bg-BG"/>
        </w:rPr>
        <w:t xml:space="preserve"> НАЕМНА</w:t>
      </w:r>
      <w:r w:rsidRPr="00112CB0">
        <w:rPr>
          <w:rFonts w:ascii="Times New Roman" w:hAnsi="Times New Roman"/>
          <w:b/>
          <w:sz w:val="24"/>
          <w:szCs w:val="24"/>
          <w:lang w:val="bg-BG"/>
        </w:rPr>
        <w:t xml:space="preserve"> </w:t>
      </w:r>
      <w:r w:rsidRPr="00112CB0">
        <w:rPr>
          <w:rFonts w:ascii="Times New Roman" w:hAnsi="Times New Roman"/>
          <w:b/>
          <w:sz w:val="24"/>
          <w:szCs w:val="24"/>
        </w:rPr>
        <w:t>ЦЕН</w:t>
      </w:r>
      <w:r w:rsidRPr="00112CB0">
        <w:rPr>
          <w:rFonts w:ascii="Times New Roman" w:hAnsi="Times New Roman"/>
          <w:b/>
          <w:sz w:val="24"/>
          <w:szCs w:val="24"/>
          <w:lang w:val="bg-BG"/>
        </w:rPr>
        <w:t>А</w:t>
      </w:r>
      <w:r w:rsidR="0085375E">
        <w:rPr>
          <w:rFonts w:ascii="Times New Roman" w:hAnsi="Times New Roman"/>
          <w:b/>
          <w:sz w:val="24"/>
          <w:szCs w:val="24"/>
          <w:lang w:val="bg-BG"/>
        </w:rPr>
        <w:t xml:space="preserve"> </w:t>
      </w:r>
      <w:r w:rsidR="005109B2">
        <w:rPr>
          <w:rFonts w:ascii="Times New Roman" w:hAnsi="Times New Roman"/>
          <w:b/>
          <w:sz w:val="24"/>
          <w:szCs w:val="24"/>
          <w:lang w:val="bg-BG"/>
        </w:rPr>
        <w:t xml:space="preserve">НА МЕСЕЦ </w:t>
      </w:r>
      <w:r w:rsidR="0085375E">
        <w:rPr>
          <w:rFonts w:ascii="Times New Roman" w:hAnsi="Times New Roman"/>
          <w:b/>
          <w:sz w:val="24"/>
          <w:szCs w:val="24"/>
          <w:lang w:val="bg-BG"/>
        </w:rPr>
        <w:t>–</w:t>
      </w:r>
      <w:r w:rsidR="001F4B36">
        <w:rPr>
          <w:rFonts w:ascii="Times New Roman" w:hAnsi="Times New Roman"/>
          <w:b/>
          <w:sz w:val="24"/>
          <w:szCs w:val="24"/>
          <w:lang w:val="bg-BG"/>
        </w:rPr>
        <w:t xml:space="preserve"> </w:t>
      </w:r>
      <w:bookmarkStart w:id="0" w:name="_GoBack"/>
      <w:bookmarkEnd w:id="0"/>
      <w:r w:rsidR="0028401F" w:rsidRPr="0028401F">
        <w:rPr>
          <w:rFonts w:ascii="Times New Roman" w:eastAsia="Times New Roman" w:hAnsi="Times New Roman"/>
          <w:sz w:val="24"/>
          <w:szCs w:val="24"/>
          <w:lang w:val="bg-BG"/>
        </w:rPr>
        <w:t>112</w:t>
      </w:r>
      <w:proofErr w:type="gramStart"/>
      <w:r w:rsidR="0028401F" w:rsidRPr="0028401F">
        <w:rPr>
          <w:rFonts w:ascii="Times New Roman" w:eastAsia="Times New Roman" w:hAnsi="Times New Roman"/>
          <w:sz w:val="24"/>
          <w:szCs w:val="24"/>
          <w:lang w:val="bg-BG"/>
        </w:rPr>
        <w:t>,00</w:t>
      </w:r>
      <w:proofErr w:type="gramEnd"/>
      <w:r w:rsidR="0028401F" w:rsidRPr="0028401F">
        <w:rPr>
          <w:rFonts w:ascii="Times New Roman" w:eastAsia="Times New Roman" w:hAnsi="Times New Roman"/>
          <w:sz w:val="24"/>
          <w:szCs w:val="24"/>
          <w:lang w:val="bg-BG"/>
        </w:rPr>
        <w:t xml:space="preserve"> лв. /сто и дванадесет лева/ с включен ДДС</w:t>
      </w:r>
    </w:p>
    <w:p w:rsidR="001F4B36" w:rsidRPr="00006310" w:rsidRDefault="001F4B36" w:rsidP="001F4B36">
      <w:pPr>
        <w:pStyle w:val="a9"/>
        <w:tabs>
          <w:tab w:val="left" w:pos="709"/>
          <w:tab w:val="left" w:pos="993"/>
          <w:tab w:val="left" w:pos="4200"/>
        </w:tabs>
        <w:spacing w:after="0" w:line="240" w:lineRule="auto"/>
        <w:ind w:left="709"/>
        <w:contextualSpacing/>
        <w:jc w:val="both"/>
        <w:rPr>
          <w:rFonts w:ascii="Times New Roman" w:hAnsi="Times New Roman"/>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006310">
        <w:rPr>
          <w:rFonts w:ascii="Times New Roman" w:eastAsia="Times New Roman" w:hAnsi="Times New Roman"/>
          <w:b/>
          <w:bCs/>
          <w:sz w:val="24"/>
          <w:szCs w:val="24"/>
          <w:lang w:val="ru-RU"/>
        </w:rPr>
        <w:t>19.07</w:t>
      </w:r>
      <w:r w:rsidR="002D5B77" w:rsidRPr="002D5B77">
        <w:rPr>
          <w:rFonts w:ascii="Times New Roman" w:eastAsia="Times New Roman" w:hAnsi="Times New Roman"/>
          <w:b/>
          <w:bCs/>
          <w:sz w:val="24"/>
          <w:szCs w:val="24"/>
          <w:lang w:val="ru-RU"/>
        </w:rPr>
        <w:t>.2022 година /вторник/ от 1</w:t>
      </w:r>
      <w:r w:rsidR="005109B2">
        <w:rPr>
          <w:rFonts w:ascii="Times New Roman" w:eastAsia="Times New Roman" w:hAnsi="Times New Roman"/>
          <w:b/>
          <w:bCs/>
          <w:sz w:val="24"/>
          <w:szCs w:val="24"/>
          <w:lang w:val="ru-RU"/>
        </w:rPr>
        <w:t>0</w:t>
      </w:r>
      <w:r w:rsidR="002D5B77">
        <w:rPr>
          <w:rFonts w:ascii="Times New Roman" w:eastAsia="Times New Roman" w:hAnsi="Times New Roman"/>
          <w:b/>
          <w:bCs/>
          <w:sz w:val="24"/>
          <w:szCs w:val="24"/>
          <w:lang w:val="ru-RU"/>
        </w:rPr>
        <w:t>:</w:t>
      </w:r>
      <w:r w:rsidR="0028401F">
        <w:rPr>
          <w:rFonts w:ascii="Times New Roman" w:eastAsia="Times New Roman" w:hAnsi="Times New Roman"/>
          <w:b/>
          <w:bCs/>
          <w:sz w:val="24"/>
          <w:szCs w:val="24"/>
          <w:lang w:val="ru-RU"/>
        </w:rPr>
        <w:t>2</w:t>
      </w:r>
      <w:r w:rsidR="00D47396">
        <w:rPr>
          <w:rFonts w:ascii="Times New Roman" w:eastAsia="Times New Roman" w:hAnsi="Times New Roman"/>
          <w:b/>
          <w:bCs/>
          <w:sz w:val="24"/>
          <w:szCs w:val="24"/>
          <w:lang w:val="ru-RU"/>
        </w:rPr>
        <w:t>0</w:t>
      </w:r>
      <w:r w:rsidR="002D5B77" w:rsidRPr="002D5B77">
        <w:rPr>
          <w:rFonts w:ascii="Times New Roman" w:eastAsia="Times New Roman" w:hAnsi="Times New Roman"/>
          <w:b/>
          <w:bCs/>
          <w:sz w:val="24"/>
          <w:szCs w:val="24"/>
          <w:lang w:val="ru-RU"/>
        </w:rPr>
        <w:t xml:space="preserve">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1F4B36">
        <w:rPr>
          <w:rFonts w:ascii="Times New Roman" w:eastAsia="Times New Roman" w:hAnsi="Times New Roman"/>
          <w:b/>
          <w:color w:val="000000"/>
          <w:sz w:val="24"/>
          <w:szCs w:val="24"/>
          <w:lang w:val="bg-BG"/>
        </w:rPr>
        <w:t xml:space="preserve">, възлизащ на сумата от </w:t>
      </w:r>
      <w:r w:rsidR="0028401F">
        <w:rPr>
          <w:rFonts w:ascii="Times New Roman" w:eastAsia="Times New Roman" w:hAnsi="Times New Roman"/>
          <w:b/>
          <w:color w:val="000000"/>
          <w:sz w:val="24"/>
          <w:szCs w:val="24"/>
          <w:lang w:val="bg-BG"/>
        </w:rPr>
        <w:t>11,20</w:t>
      </w:r>
      <w:r w:rsidR="00006310" w:rsidRPr="00006310">
        <w:rPr>
          <w:rFonts w:ascii="Times New Roman" w:eastAsia="Times New Roman" w:hAnsi="Times New Roman"/>
          <w:b/>
          <w:color w:val="000000"/>
          <w:sz w:val="24"/>
          <w:szCs w:val="24"/>
          <w:lang w:val="bg-BG"/>
        </w:rPr>
        <w:t xml:space="preserve"> </w:t>
      </w:r>
      <w:r w:rsidR="001F4B36">
        <w:rPr>
          <w:rFonts w:ascii="Times New Roman" w:eastAsia="Times New Roman" w:hAnsi="Times New Roman"/>
          <w:b/>
          <w:color w:val="000000"/>
          <w:sz w:val="24"/>
          <w:szCs w:val="24"/>
          <w:lang w:val="bg-BG"/>
        </w:rPr>
        <w:t>лв.</w:t>
      </w: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D042D" w:rsidRPr="009D042D">
        <w:rPr>
          <w:rFonts w:ascii="Times New Roman" w:eastAsia="Times New Roman" w:hAnsi="Times New Roman"/>
          <w:b/>
          <w:sz w:val="24"/>
          <w:szCs w:val="24"/>
          <w:u w:val="single"/>
          <w:lang w:val="bg-BG"/>
        </w:rPr>
        <w:t xml:space="preserve">15:30 часа на </w:t>
      </w:r>
      <w:r w:rsidR="00006310">
        <w:rPr>
          <w:rFonts w:ascii="Times New Roman" w:eastAsia="Times New Roman" w:hAnsi="Times New Roman"/>
          <w:b/>
          <w:sz w:val="24"/>
          <w:szCs w:val="24"/>
          <w:u w:val="single"/>
          <w:lang w:val="bg-BG"/>
        </w:rPr>
        <w:t>18.07</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lastRenderedPageBreak/>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w:t>
      </w:r>
      <w:r w:rsidR="00006310">
        <w:rPr>
          <w:rFonts w:ascii="Times New Roman" w:hAnsi="Times New Roman"/>
          <w:sz w:val="24"/>
          <w:szCs w:val="24"/>
          <w:lang w:val="bg-BG"/>
        </w:rPr>
        <w:t>ация и обслужване на гражданите в</w:t>
      </w:r>
      <w:r w:rsidR="00EF0C10" w:rsidRPr="00112CB0">
        <w:rPr>
          <w:rFonts w:ascii="Times New Roman" w:hAnsi="Times New Roman"/>
          <w:sz w:val="24"/>
          <w:szCs w:val="24"/>
          <w:lang w:val="bg-BG"/>
        </w:rPr>
        <w:t xml:space="preserve">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15:</w:t>
      </w:r>
      <w:r w:rsidR="009D042D" w:rsidRPr="009D042D">
        <w:rPr>
          <w:rFonts w:ascii="Times New Roman" w:eastAsia="Times New Roman" w:hAnsi="Times New Roman"/>
          <w:b/>
          <w:sz w:val="24"/>
          <w:szCs w:val="24"/>
          <w:u w:val="single"/>
          <w:lang w:val="bg-BG"/>
        </w:rPr>
        <w:t xml:space="preserve">00 часа на </w:t>
      </w:r>
      <w:r w:rsidR="00006310">
        <w:rPr>
          <w:rFonts w:ascii="Times New Roman" w:eastAsia="Times New Roman" w:hAnsi="Times New Roman"/>
          <w:b/>
          <w:sz w:val="24"/>
          <w:szCs w:val="24"/>
          <w:u w:val="single"/>
          <w:lang w:val="ru-RU"/>
        </w:rPr>
        <w:t>18.07</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006310">
        <w:rPr>
          <w:rFonts w:ascii="Times New Roman" w:eastAsia="Times New Roman" w:hAnsi="Times New Roman"/>
          <w:b/>
          <w:sz w:val="24"/>
          <w:szCs w:val="24"/>
          <w:u w:val="single"/>
          <w:lang w:val="bg-BG" w:eastAsia="ar-SA"/>
        </w:rPr>
        <w:t>18.07</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lastRenderedPageBreak/>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 xml:space="preserve">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w:t>
      </w:r>
      <w:r w:rsidR="00965605" w:rsidRPr="00112CB0">
        <w:rPr>
          <w:rFonts w:ascii="Times New Roman" w:hAnsi="Times New Roman"/>
          <w:sz w:val="24"/>
          <w:szCs w:val="24"/>
          <w:lang w:val="bg-BG" w:eastAsia="bg-BG"/>
        </w:rPr>
        <w:lastRenderedPageBreak/>
        <w:t>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CF" w:rsidRDefault="00D377CF" w:rsidP="005932EF">
      <w:pPr>
        <w:spacing w:after="0" w:line="240" w:lineRule="auto"/>
      </w:pPr>
      <w:r>
        <w:separator/>
      </w:r>
    </w:p>
  </w:endnote>
  <w:endnote w:type="continuationSeparator" w:id="0">
    <w:p w:rsidR="00D377CF" w:rsidRDefault="00D377CF"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201CD3">
              <w:rPr>
                <w:rFonts w:ascii="Times New Roman" w:hAnsi="Times New Roman"/>
                <w:b/>
                <w:noProof/>
              </w:rPr>
              <w:t>1</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201CD3">
              <w:rPr>
                <w:rFonts w:ascii="Times New Roman" w:hAnsi="Times New Roman"/>
                <w:b/>
                <w:noProof/>
              </w:rPr>
              <w:t>4</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CF" w:rsidRDefault="00D377CF" w:rsidP="005932EF">
      <w:pPr>
        <w:spacing w:after="0" w:line="240" w:lineRule="auto"/>
      </w:pPr>
      <w:r>
        <w:separator/>
      </w:r>
    </w:p>
  </w:footnote>
  <w:footnote w:type="continuationSeparator" w:id="0">
    <w:p w:rsidR="00D377CF" w:rsidRDefault="00D377CF"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2FF005E"/>
    <w:multiLevelType w:val="hybridMultilevel"/>
    <w:tmpl w:val="677EAC20"/>
    <w:lvl w:ilvl="0" w:tplc="CC8A84B4">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7">
    <w:nsid w:val="79F3453D"/>
    <w:multiLevelType w:val="multilevel"/>
    <w:tmpl w:val="C8B8D29E"/>
    <w:lvl w:ilvl="0">
      <w:start w:val="2"/>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7"/>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6"/>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 w:numId="2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310"/>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4B36"/>
    <w:rsid w:val="001F6B6D"/>
    <w:rsid w:val="00201CD3"/>
    <w:rsid w:val="002036BA"/>
    <w:rsid w:val="0020467E"/>
    <w:rsid w:val="00210197"/>
    <w:rsid w:val="00217F64"/>
    <w:rsid w:val="002201C0"/>
    <w:rsid w:val="0023121A"/>
    <w:rsid w:val="00231629"/>
    <w:rsid w:val="00233249"/>
    <w:rsid w:val="00235A1D"/>
    <w:rsid w:val="0023636B"/>
    <w:rsid w:val="00260489"/>
    <w:rsid w:val="00261E6E"/>
    <w:rsid w:val="002624F3"/>
    <w:rsid w:val="0027531A"/>
    <w:rsid w:val="002767ED"/>
    <w:rsid w:val="0028401F"/>
    <w:rsid w:val="002841CD"/>
    <w:rsid w:val="002976F1"/>
    <w:rsid w:val="002A4080"/>
    <w:rsid w:val="002B3E25"/>
    <w:rsid w:val="002D0392"/>
    <w:rsid w:val="002D5B77"/>
    <w:rsid w:val="002E5A56"/>
    <w:rsid w:val="002E5AB9"/>
    <w:rsid w:val="00301573"/>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24C5"/>
    <w:rsid w:val="00455103"/>
    <w:rsid w:val="0045599A"/>
    <w:rsid w:val="0047156D"/>
    <w:rsid w:val="00476814"/>
    <w:rsid w:val="0048092D"/>
    <w:rsid w:val="004824A9"/>
    <w:rsid w:val="00497F77"/>
    <w:rsid w:val="004A41AD"/>
    <w:rsid w:val="004B0B86"/>
    <w:rsid w:val="004B3868"/>
    <w:rsid w:val="004B4F0A"/>
    <w:rsid w:val="004D008A"/>
    <w:rsid w:val="004D5B3B"/>
    <w:rsid w:val="004E7B94"/>
    <w:rsid w:val="004F1757"/>
    <w:rsid w:val="004F3C75"/>
    <w:rsid w:val="0050308A"/>
    <w:rsid w:val="005109B2"/>
    <w:rsid w:val="005214A1"/>
    <w:rsid w:val="0052203A"/>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3ABB"/>
    <w:rsid w:val="005F53F9"/>
    <w:rsid w:val="005F62E8"/>
    <w:rsid w:val="005F7F20"/>
    <w:rsid w:val="00601DA6"/>
    <w:rsid w:val="006048D1"/>
    <w:rsid w:val="00606832"/>
    <w:rsid w:val="00606BE3"/>
    <w:rsid w:val="006203C3"/>
    <w:rsid w:val="006244D5"/>
    <w:rsid w:val="006248F0"/>
    <w:rsid w:val="00626805"/>
    <w:rsid w:val="00633D7F"/>
    <w:rsid w:val="006465CB"/>
    <w:rsid w:val="00651E08"/>
    <w:rsid w:val="00652927"/>
    <w:rsid w:val="006B1E94"/>
    <w:rsid w:val="006D4216"/>
    <w:rsid w:val="006E30B0"/>
    <w:rsid w:val="007204C5"/>
    <w:rsid w:val="00723E17"/>
    <w:rsid w:val="007248F1"/>
    <w:rsid w:val="00724FA1"/>
    <w:rsid w:val="00730134"/>
    <w:rsid w:val="00733663"/>
    <w:rsid w:val="0073544C"/>
    <w:rsid w:val="00741C7D"/>
    <w:rsid w:val="00751665"/>
    <w:rsid w:val="0076413C"/>
    <w:rsid w:val="00770979"/>
    <w:rsid w:val="007715B9"/>
    <w:rsid w:val="00774319"/>
    <w:rsid w:val="007837FC"/>
    <w:rsid w:val="007A5E72"/>
    <w:rsid w:val="007B3CEC"/>
    <w:rsid w:val="007D12D4"/>
    <w:rsid w:val="007D72E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7537"/>
    <w:rsid w:val="009C7AB8"/>
    <w:rsid w:val="009D042D"/>
    <w:rsid w:val="009D1D3D"/>
    <w:rsid w:val="009D35DC"/>
    <w:rsid w:val="009D5FCF"/>
    <w:rsid w:val="009E66B5"/>
    <w:rsid w:val="009F01ED"/>
    <w:rsid w:val="009F11BE"/>
    <w:rsid w:val="009F3C0B"/>
    <w:rsid w:val="009F7C44"/>
    <w:rsid w:val="00A022A0"/>
    <w:rsid w:val="00A0410A"/>
    <w:rsid w:val="00A06524"/>
    <w:rsid w:val="00A25DEE"/>
    <w:rsid w:val="00A31705"/>
    <w:rsid w:val="00A43028"/>
    <w:rsid w:val="00A432DA"/>
    <w:rsid w:val="00A50AB9"/>
    <w:rsid w:val="00A50CC9"/>
    <w:rsid w:val="00A64974"/>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4679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1D5D"/>
    <w:rsid w:val="00D226CF"/>
    <w:rsid w:val="00D377CF"/>
    <w:rsid w:val="00D42BD6"/>
    <w:rsid w:val="00D45941"/>
    <w:rsid w:val="00D47396"/>
    <w:rsid w:val="00D50C38"/>
    <w:rsid w:val="00D54376"/>
    <w:rsid w:val="00D60D55"/>
    <w:rsid w:val="00D6123B"/>
    <w:rsid w:val="00D630ED"/>
    <w:rsid w:val="00D646C0"/>
    <w:rsid w:val="00D80716"/>
    <w:rsid w:val="00D913A6"/>
    <w:rsid w:val="00DA28B8"/>
    <w:rsid w:val="00DB3596"/>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07AF"/>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02E0F"/>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14573-DB4A-4028-BADA-B8E75925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1794</Words>
  <Characters>10232</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3</cp:revision>
  <cp:lastPrinted>2022-07-06T12:28:00Z</cp:lastPrinted>
  <dcterms:created xsi:type="dcterms:W3CDTF">2022-07-06T12:28:00Z</dcterms:created>
  <dcterms:modified xsi:type="dcterms:W3CDTF">2022-07-06T12:32:00Z</dcterms:modified>
</cp:coreProperties>
</file>